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9D" w:rsidRPr="00A20BF2" w:rsidRDefault="007907B5" w:rsidP="003D3928">
      <w:pPr>
        <w:tabs>
          <w:tab w:val="left" w:pos="5040"/>
        </w:tabs>
        <w:spacing w:line="360" w:lineRule="auto"/>
        <w:rPr>
          <w:rFonts w:ascii="Book Antiqua" w:hAnsi="Book Antiqua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-280035</wp:posOffset>
            </wp:positionV>
            <wp:extent cx="3343275" cy="1323975"/>
            <wp:effectExtent l="0" t="0" r="0" b="0"/>
            <wp:wrapNone/>
            <wp:docPr id="17" name="Picture 1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BF2">
        <w:tab/>
      </w:r>
      <w:r w:rsidR="00A20BF2">
        <w:rPr>
          <w:rFonts w:ascii="Book Antiqua" w:hAnsi="Book Antiqua"/>
          <w:b/>
          <w:sz w:val="22"/>
          <w:szCs w:val="22"/>
        </w:rPr>
        <w:t>Al Morgan</w:t>
      </w:r>
      <w:r w:rsidR="00DF219D" w:rsidRPr="00A20BF2">
        <w:rPr>
          <w:rFonts w:ascii="Book Antiqua" w:hAnsi="Book Antiqua"/>
          <w:b/>
          <w:sz w:val="22"/>
          <w:szCs w:val="22"/>
        </w:rPr>
        <w:t>, Mayor</w:t>
      </w:r>
    </w:p>
    <w:p w:rsidR="003D3928" w:rsidRDefault="00DF219D" w:rsidP="003D3928">
      <w:pPr>
        <w:spacing w:line="276" w:lineRule="auto"/>
        <w:rPr>
          <w:rFonts w:ascii="Book Antiqua" w:hAnsi="Book Antiqua"/>
          <w:b/>
          <w:sz w:val="22"/>
          <w:szCs w:val="22"/>
        </w:rPr>
      </w:pPr>
      <w:r w:rsidRPr="00A20BF2">
        <w:rPr>
          <w:rFonts w:ascii="Book Antiqua" w:hAnsi="Book Antiqua"/>
          <w:b/>
          <w:sz w:val="22"/>
          <w:szCs w:val="22"/>
        </w:rPr>
        <w:tab/>
      </w:r>
      <w:r w:rsidRPr="00A20BF2">
        <w:rPr>
          <w:rFonts w:ascii="Book Antiqua" w:hAnsi="Book Antiqua"/>
          <w:b/>
          <w:sz w:val="22"/>
          <w:szCs w:val="22"/>
        </w:rPr>
        <w:tab/>
      </w:r>
      <w:r w:rsidRPr="00A20BF2">
        <w:rPr>
          <w:rFonts w:ascii="Book Antiqua" w:hAnsi="Book Antiqua"/>
          <w:b/>
          <w:sz w:val="22"/>
          <w:szCs w:val="22"/>
        </w:rPr>
        <w:tab/>
      </w:r>
      <w:r w:rsidRPr="00A20BF2">
        <w:rPr>
          <w:rFonts w:ascii="Book Antiqua" w:hAnsi="Book Antiqua"/>
          <w:b/>
          <w:sz w:val="22"/>
          <w:szCs w:val="22"/>
        </w:rPr>
        <w:tab/>
      </w:r>
      <w:r w:rsidRPr="00A20BF2">
        <w:rPr>
          <w:rFonts w:ascii="Book Antiqua" w:hAnsi="Book Antiqua"/>
          <w:b/>
          <w:sz w:val="22"/>
          <w:szCs w:val="22"/>
        </w:rPr>
        <w:tab/>
      </w:r>
      <w:r w:rsidRPr="00A20BF2">
        <w:rPr>
          <w:rFonts w:ascii="Book Antiqua" w:hAnsi="Book Antiqua"/>
          <w:b/>
          <w:sz w:val="22"/>
          <w:szCs w:val="22"/>
        </w:rPr>
        <w:tab/>
      </w:r>
      <w:r w:rsidRPr="00A20BF2">
        <w:rPr>
          <w:rFonts w:ascii="Book Antiqua" w:hAnsi="Book Antiqua"/>
          <w:b/>
          <w:sz w:val="22"/>
          <w:szCs w:val="22"/>
        </w:rPr>
        <w:tab/>
      </w:r>
      <w:r w:rsidR="003D3928">
        <w:rPr>
          <w:rFonts w:ascii="Book Antiqua" w:hAnsi="Book Antiqua"/>
          <w:b/>
          <w:sz w:val="22"/>
          <w:szCs w:val="22"/>
        </w:rPr>
        <w:t xml:space="preserve">Keith J. Lynch, Director </w:t>
      </w:r>
    </w:p>
    <w:p w:rsidR="003D3928" w:rsidRDefault="003D3928" w:rsidP="003D3928">
      <w:pPr>
        <w:spacing w:line="360" w:lineRule="auto"/>
        <w:ind w:left="4320" w:firstLine="72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Planning &amp; Development</w:t>
      </w:r>
    </w:p>
    <w:p w:rsidR="00A20BF2" w:rsidRDefault="0037438E" w:rsidP="003D3928">
      <w:pPr>
        <w:ind w:right="-90"/>
        <w:rPr>
          <w:rFonts w:ascii="Book Antiqua" w:hAnsi="Book Antiqua"/>
          <w:b/>
          <w:sz w:val="22"/>
          <w:szCs w:val="22"/>
        </w:rPr>
      </w:pPr>
      <w:r w:rsidRPr="00A20BF2">
        <w:rPr>
          <w:rFonts w:ascii="Book Antiqua" w:hAnsi="Book Antiqua"/>
          <w:b/>
          <w:sz w:val="22"/>
          <w:szCs w:val="22"/>
        </w:rPr>
        <w:tab/>
      </w:r>
      <w:r w:rsidRPr="00A20BF2">
        <w:rPr>
          <w:rFonts w:ascii="Book Antiqua" w:hAnsi="Book Antiqua"/>
          <w:b/>
          <w:sz w:val="22"/>
          <w:szCs w:val="22"/>
        </w:rPr>
        <w:tab/>
      </w:r>
      <w:r w:rsidRPr="00A20BF2">
        <w:rPr>
          <w:rFonts w:ascii="Book Antiqua" w:hAnsi="Book Antiqua"/>
          <w:b/>
          <w:sz w:val="22"/>
          <w:szCs w:val="22"/>
        </w:rPr>
        <w:tab/>
      </w:r>
      <w:r w:rsidRPr="00A20BF2">
        <w:rPr>
          <w:rFonts w:ascii="Book Antiqua" w:hAnsi="Book Antiqua"/>
          <w:b/>
          <w:sz w:val="22"/>
          <w:szCs w:val="22"/>
        </w:rPr>
        <w:tab/>
      </w:r>
      <w:r w:rsidRPr="00A20BF2">
        <w:rPr>
          <w:rFonts w:ascii="Book Antiqua" w:hAnsi="Book Antiqua"/>
          <w:b/>
          <w:sz w:val="22"/>
          <w:szCs w:val="22"/>
        </w:rPr>
        <w:tab/>
      </w:r>
      <w:r w:rsidRPr="00A20BF2">
        <w:rPr>
          <w:rFonts w:ascii="Book Antiqua" w:hAnsi="Book Antiqua"/>
          <w:b/>
          <w:sz w:val="22"/>
          <w:szCs w:val="22"/>
        </w:rPr>
        <w:tab/>
      </w:r>
      <w:r w:rsidRPr="00A20BF2">
        <w:rPr>
          <w:rFonts w:ascii="Book Antiqua" w:hAnsi="Book Antiqua"/>
          <w:b/>
          <w:sz w:val="22"/>
          <w:szCs w:val="22"/>
        </w:rPr>
        <w:tab/>
      </w:r>
      <w:r w:rsidR="003D3928">
        <w:rPr>
          <w:rFonts w:ascii="Book Antiqua" w:hAnsi="Book Antiqua"/>
          <w:b/>
          <w:sz w:val="22"/>
          <w:szCs w:val="22"/>
        </w:rPr>
        <w:t>Deb</w:t>
      </w:r>
      <w:r w:rsidR="005449D2">
        <w:rPr>
          <w:rFonts w:ascii="Book Antiqua" w:hAnsi="Book Antiqua"/>
          <w:b/>
          <w:sz w:val="22"/>
          <w:szCs w:val="22"/>
        </w:rPr>
        <w:t>orah A.</w:t>
      </w:r>
      <w:r w:rsidR="003D3928">
        <w:rPr>
          <w:rFonts w:ascii="Book Antiqua" w:hAnsi="Book Antiqua"/>
          <w:b/>
          <w:sz w:val="22"/>
          <w:szCs w:val="22"/>
        </w:rPr>
        <w:t xml:space="preserve"> Timko, Technical Assistant</w:t>
      </w:r>
      <w:r w:rsidRPr="00A20BF2">
        <w:rPr>
          <w:rFonts w:ascii="Book Antiqua" w:hAnsi="Book Antiqua"/>
          <w:b/>
          <w:sz w:val="22"/>
          <w:szCs w:val="22"/>
        </w:rPr>
        <w:t xml:space="preserve"> </w:t>
      </w:r>
      <w:r w:rsidR="00A20BF2" w:rsidRPr="00A20BF2">
        <w:rPr>
          <w:rFonts w:ascii="Book Antiqua" w:hAnsi="Book Antiqua"/>
          <w:b/>
          <w:sz w:val="22"/>
          <w:szCs w:val="22"/>
        </w:rPr>
        <w:t xml:space="preserve"> </w:t>
      </w:r>
    </w:p>
    <w:p w:rsidR="003D3928" w:rsidRPr="003D3928" w:rsidRDefault="003D3928" w:rsidP="003D3928">
      <w:pPr>
        <w:ind w:right="-90"/>
        <w:rPr>
          <w:rFonts w:ascii="Book Antiqua" w:hAnsi="Book Antiqua"/>
          <w:b/>
          <w:sz w:val="22"/>
          <w:szCs w:val="22"/>
        </w:rPr>
      </w:pPr>
    </w:p>
    <w:p w:rsidR="00F71E4B" w:rsidRDefault="007907B5" w:rsidP="003D3928">
      <w:pPr>
        <w:rPr>
          <w:rFonts w:ascii="Book Antiqua" w:hAnsi="Book Antiqua"/>
          <w:sz w:val="14"/>
          <w:szCs w:val="14"/>
        </w:rPr>
      </w:pPr>
      <w:r>
        <w:rPr>
          <w:rFonts w:ascii="Book Antiqua" w:hAnsi="Book Antiqu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3BA453" wp14:editId="141BBB14">
                <wp:simplePos x="0" y="0"/>
                <wp:positionH relativeFrom="column">
                  <wp:posOffset>-228600</wp:posOffset>
                </wp:positionH>
                <wp:positionV relativeFrom="paragraph">
                  <wp:posOffset>44450</wp:posOffset>
                </wp:positionV>
                <wp:extent cx="6400800" cy="0"/>
                <wp:effectExtent l="9525" t="15875" r="9525" b="1270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5pt" to="486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/6wEgIAACo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" strokeweight="1.5pt"/>
            </w:pict>
          </mc:Fallback>
        </mc:AlternateContent>
      </w:r>
      <w:r w:rsidR="00874838">
        <w:rPr>
          <w:rFonts w:ascii="Book Antiqua" w:hAnsi="Book Antiqua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4838" w:rsidRDefault="00874838" w:rsidP="00874838">
      <w:pPr>
        <w:rPr>
          <w:rFonts w:ascii="Book Antiqua" w:hAnsi="Book Antiqua"/>
          <w:sz w:val="14"/>
          <w:szCs w:val="14"/>
        </w:rPr>
      </w:pPr>
    </w:p>
    <w:p w:rsidR="00874838" w:rsidRDefault="00874838" w:rsidP="00874838">
      <w:pPr>
        <w:rPr>
          <w:rFonts w:ascii="Book Antiqua" w:hAnsi="Book Antiqua"/>
          <w:sz w:val="14"/>
          <w:szCs w:val="14"/>
        </w:rPr>
      </w:pPr>
    </w:p>
    <w:p w:rsidR="006C68D6" w:rsidRPr="006C68D6" w:rsidRDefault="006C68D6" w:rsidP="006C68D6">
      <w:pPr>
        <w:rPr>
          <w:rFonts w:ascii="Calibri" w:hAnsi="Calibri" w:cs="Arial"/>
          <w:color w:val="000000"/>
          <w:sz w:val="32"/>
          <w:szCs w:val="22"/>
        </w:rPr>
      </w:pPr>
      <w:r w:rsidRPr="006C68D6">
        <w:rPr>
          <w:rFonts w:ascii="Calibri" w:hAnsi="Calibri" w:cs="Arial"/>
          <w:color w:val="000000"/>
          <w:sz w:val="32"/>
          <w:szCs w:val="22"/>
        </w:rPr>
        <w:t>NOTICE:  All real estate transactions are effected (sales and rentals)</w:t>
      </w:r>
    </w:p>
    <w:p w:rsidR="006C68D6" w:rsidRPr="006C68D6" w:rsidRDefault="006C68D6" w:rsidP="006C68D6">
      <w:pPr>
        <w:rPr>
          <w:rFonts w:ascii="Calibri" w:hAnsi="Calibri" w:cs="Arial"/>
          <w:color w:val="000000"/>
          <w:sz w:val="32"/>
          <w:szCs w:val="22"/>
        </w:rPr>
      </w:pPr>
    </w:p>
    <w:p w:rsidR="006C68D6" w:rsidRPr="006C68D6" w:rsidRDefault="006C68D6" w:rsidP="006C68D6">
      <w:pPr>
        <w:rPr>
          <w:rFonts w:ascii="Calibri" w:hAnsi="Calibri" w:cs="Arial"/>
          <w:color w:val="000000"/>
          <w:sz w:val="32"/>
          <w:szCs w:val="22"/>
        </w:rPr>
      </w:pPr>
      <w:r w:rsidRPr="006C68D6">
        <w:rPr>
          <w:rFonts w:ascii="Calibri" w:hAnsi="Calibri" w:cs="Arial"/>
          <w:color w:val="000000"/>
          <w:sz w:val="32"/>
          <w:szCs w:val="22"/>
        </w:rPr>
        <w:t>Effective January 1, 2019, the NJ Uniform Fire Code has changed the provisions relative to smoke detectors in cases of residential re-sales and rentals. New Providence enforces these Fire Code requirements as part of the Zoning Certificate of Occupancy process.</w:t>
      </w:r>
    </w:p>
    <w:p w:rsidR="006C68D6" w:rsidRPr="006C68D6" w:rsidRDefault="006C68D6" w:rsidP="006C68D6">
      <w:pPr>
        <w:rPr>
          <w:rFonts w:ascii="Calibri" w:hAnsi="Calibri" w:cs="Arial"/>
          <w:color w:val="000000"/>
          <w:sz w:val="32"/>
          <w:szCs w:val="22"/>
        </w:rPr>
      </w:pPr>
      <w:r w:rsidRPr="006C68D6">
        <w:rPr>
          <w:rFonts w:ascii="Calibri" w:hAnsi="Calibri" w:cs="Arial"/>
          <w:color w:val="000000"/>
          <w:sz w:val="32"/>
          <w:szCs w:val="22"/>
        </w:rPr>
        <w:t> </w:t>
      </w:r>
    </w:p>
    <w:p w:rsidR="006C68D6" w:rsidRPr="005449D2" w:rsidRDefault="006C68D6" w:rsidP="006C68D6">
      <w:pPr>
        <w:rPr>
          <w:rFonts w:ascii="Calibri" w:hAnsi="Calibri" w:cs="Arial"/>
          <w:color w:val="000000"/>
          <w:sz w:val="28"/>
          <w:szCs w:val="28"/>
        </w:rPr>
      </w:pPr>
      <w:r w:rsidRPr="005449D2">
        <w:rPr>
          <w:rFonts w:ascii="Calibri" w:hAnsi="Calibri" w:cs="Arial"/>
          <w:color w:val="000000"/>
          <w:sz w:val="28"/>
          <w:szCs w:val="28"/>
        </w:rPr>
        <w:t xml:space="preserve">Essentially, any residential </w:t>
      </w:r>
      <w:r w:rsidRPr="005449D2">
        <w:rPr>
          <w:rFonts w:ascii="Calibri" w:hAnsi="Calibri" w:cs="Arial"/>
          <w:i/>
          <w:iCs/>
          <w:color w:val="000000"/>
          <w:sz w:val="28"/>
          <w:szCs w:val="28"/>
        </w:rPr>
        <w:t>Zoning</w:t>
      </w:r>
      <w:r w:rsidRPr="005449D2">
        <w:rPr>
          <w:rFonts w:ascii="Calibri" w:hAnsi="Calibri" w:cs="Arial"/>
          <w:color w:val="000000"/>
          <w:sz w:val="28"/>
          <w:szCs w:val="28"/>
        </w:rPr>
        <w:t xml:space="preserve"> C.O. for sale or rental (single, two-family, condos and apartments) starting in 2019 will require that the dwelling or apartment be equipped with </w:t>
      </w:r>
      <w:r w:rsidRPr="005449D2">
        <w:rPr>
          <w:rFonts w:ascii="Calibri" w:hAnsi="Calibri" w:cs="Arial"/>
          <w:b/>
          <w:bCs/>
          <w:color w:val="000000"/>
          <w:sz w:val="28"/>
          <w:szCs w:val="28"/>
          <w:u w:val="single"/>
        </w:rPr>
        <w:t>sealed unit, 10-year smoke detectors</w:t>
      </w:r>
      <w:r w:rsidRPr="005449D2">
        <w:rPr>
          <w:rFonts w:ascii="Calibri" w:hAnsi="Calibri" w:cs="Arial"/>
          <w:color w:val="000000"/>
          <w:sz w:val="28"/>
          <w:szCs w:val="28"/>
        </w:rPr>
        <w:t xml:space="preserve"> in all locations required by the code, </w:t>
      </w:r>
      <w:r w:rsidRPr="005449D2">
        <w:rPr>
          <w:rFonts w:ascii="Calibri" w:hAnsi="Calibri" w:cs="Arial"/>
          <w:i/>
          <w:iCs/>
          <w:color w:val="000000"/>
          <w:sz w:val="28"/>
          <w:szCs w:val="28"/>
        </w:rPr>
        <w:t>even if the dwelling or apartment is currently equipped with working battery smoke detectors</w:t>
      </w:r>
      <w:r w:rsidRPr="005449D2">
        <w:rPr>
          <w:rFonts w:ascii="Calibri" w:hAnsi="Calibri" w:cs="Arial"/>
          <w:color w:val="000000"/>
          <w:sz w:val="28"/>
          <w:szCs w:val="28"/>
        </w:rPr>
        <w:t>. To be precise, most but not all of them are lithium-ion powered. We are developing a plan to disseminate this information to the real estate community and all Zoning C.O. applicants at the DCS counter. The 10-year devices are readily available in home improvement centers, can be purchased with or without built-in carbon monoxide detection, and are available in both ionization and photoelectric detection processing. There are no changes for dwellings equipped with AC-powered, hard-wired smoke detectors.</w:t>
      </w:r>
    </w:p>
    <w:p w:rsidR="006C68D6" w:rsidRPr="005449D2" w:rsidRDefault="006C68D6" w:rsidP="006C68D6">
      <w:pPr>
        <w:rPr>
          <w:rFonts w:ascii="Calibri" w:hAnsi="Calibri" w:cs="Arial"/>
          <w:color w:val="000000"/>
          <w:sz w:val="28"/>
          <w:szCs w:val="28"/>
        </w:rPr>
      </w:pPr>
      <w:r w:rsidRPr="005449D2">
        <w:rPr>
          <w:rFonts w:ascii="Calibri" w:hAnsi="Calibri" w:cs="Arial"/>
          <w:color w:val="000000"/>
          <w:sz w:val="28"/>
          <w:szCs w:val="28"/>
        </w:rPr>
        <w:t> </w:t>
      </w:r>
    </w:p>
    <w:p w:rsidR="006C68D6" w:rsidRPr="005449D2" w:rsidRDefault="006C68D6" w:rsidP="006C68D6">
      <w:pPr>
        <w:rPr>
          <w:rFonts w:ascii="Calibri" w:hAnsi="Calibri" w:cs="Arial"/>
          <w:color w:val="000000"/>
          <w:sz w:val="28"/>
          <w:szCs w:val="28"/>
        </w:rPr>
      </w:pPr>
      <w:r w:rsidRPr="005449D2">
        <w:rPr>
          <w:rFonts w:ascii="Calibri" w:hAnsi="Calibri" w:cs="Arial"/>
          <w:color w:val="000000"/>
          <w:sz w:val="28"/>
          <w:szCs w:val="28"/>
        </w:rPr>
        <w:t>Missing (or removed) batteries are a primary cause of detector failure in post-fire analyses. By contrast, these sealed units do not ever need battery replacement…..they are simply disposable at the end of their 10-year life. For information, even existing smoke detectors, battery and hard-wired, have a 10-year life and should be replaced in your own homes. This is not a big change in technology, but rather deals with the risks of dead or missing batteries as well as detectors in use well beyond their useful life.</w:t>
      </w:r>
      <w:bookmarkStart w:id="0" w:name="_GoBack"/>
      <w:bookmarkEnd w:id="0"/>
    </w:p>
    <w:p w:rsidR="006C68D6" w:rsidRPr="005449D2" w:rsidRDefault="006C68D6" w:rsidP="006C68D6">
      <w:pPr>
        <w:rPr>
          <w:rFonts w:ascii="Calibri" w:hAnsi="Calibri" w:cs="Arial"/>
          <w:color w:val="000000"/>
          <w:sz w:val="28"/>
          <w:szCs w:val="28"/>
        </w:rPr>
      </w:pPr>
      <w:r w:rsidRPr="005449D2">
        <w:rPr>
          <w:rFonts w:ascii="Calibri" w:hAnsi="Calibri" w:cs="Arial"/>
          <w:color w:val="000000"/>
          <w:sz w:val="28"/>
          <w:szCs w:val="28"/>
        </w:rPr>
        <w:t> </w:t>
      </w:r>
    </w:p>
    <w:p w:rsidR="00874838" w:rsidRPr="005449D2" w:rsidRDefault="00874838" w:rsidP="00874838">
      <w:pPr>
        <w:rPr>
          <w:rFonts w:ascii="Book Antiqua" w:hAnsi="Book Antiqua"/>
          <w:sz w:val="28"/>
          <w:szCs w:val="28"/>
        </w:rPr>
      </w:pPr>
    </w:p>
    <w:sectPr w:rsidR="00874838" w:rsidRPr="005449D2" w:rsidSect="00A20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450" w:rsidRDefault="00067450">
      <w:r>
        <w:separator/>
      </w:r>
    </w:p>
  </w:endnote>
  <w:endnote w:type="continuationSeparator" w:id="0">
    <w:p w:rsidR="00067450" w:rsidRDefault="0006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928" w:rsidRDefault="003D39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838" w:rsidRPr="00CD46E4" w:rsidRDefault="00874838" w:rsidP="0037438E">
    <w:pPr>
      <w:jc w:val="center"/>
      <w:rPr>
        <w:rFonts w:ascii="Book Antiqua" w:hAnsi="Book Antiqua"/>
        <w:sz w:val="20"/>
        <w:szCs w:val="20"/>
      </w:rPr>
    </w:pPr>
    <w:smartTag w:uri="urn:schemas-microsoft-com:office:smarttags" w:element="Street">
      <w:smartTag w:uri="urn:schemas-microsoft-com:office:smarttags" w:element="address">
        <w:r w:rsidRPr="00CD46E4">
          <w:rPr>
            <w:rFonts w:ascii="Book Antiqua" w:hAnsi="Book Antiqua"/>
            <w:sz w:val="20"/>
            <w:szCs w:val="20"/>
          </w:rPr>
          <w:t>360 Elkwood Avenue</w:t>
        </w:r>
      </w:smartTag>
    </w:smartTag>
    <w:r w:rsidRPr="00CD46E4">
      <w:rPr>
        <w:rFonts w:ascii="Book Antiqua" w:hAnsi="Book Antiqua"/>
        <w:sz w:val="20"/>
        <w:szCs w:val="20"/>
      </w:rPr>
      <w:t xml:space="preserve"> ♦ </w:t>
    </w:r>
    <w:smartTag w:uri="urn:schemas-microsoft-com:office:smarttags" w:element="place">
      <w:r w:rsidRPr="00CD46E4">
        <w:rPr>
          <w:rFonts w:ascii="Book Antiqua" w:hAnsi="Book Antiqua"/>
          <w:sz w:val="20"/>
          <w:szCs w:val="20"/>
        </w:rPr>
        <w:t>New Providence</w:t>
      </w:r>
    </w:smartTag>
    <w:r w:rsidRPr="00CD46E4">
      <w:rPr>
        <w:rFonts w:ascii="Book Antiqua" w:hAnsi="Book Antiqua"/>
        <w:sz w:val="20"/>
        <w:szCs w:val="20"/>
      </w:rPr>
      <w:t xml:space="preserve"> ♦ NJ ♦ 07974</w:t>
    </w:r>
  </w:p>
  <w:p w:rsidR="00874838" w:rsidRDefault="00874838" w:rsidP="0037438E">
    <w:pPr>
      <w:jc w:val="center"/>
      <w:rPr>
        <w:rFonts w:ascii="Book Antiqua" w:hAnsi="Book Antiqua"/>
        <w:sz w:val="20"/>
        <w:szCs w:val="20"/>
      </w:rPr>
    </w:pPr>
    <w:r w:rsidRPr="00CD46E4">
      <w:rPr>
        <w:rFonts w:ascii="Book Antiqua" w:hAnsi="Book Antiqua"/>
        <w:sz w:val="20"/>
        <w:szCs w:val="20"/>
      </w:rPr>
      <w:t>908-665-</w:t>
    </w:r>
    <w:r w:rsidR="003D3928">
      <w:rPr>
        <w:rFonts w:ascii="Book Antiqua" w:hAnsi="Book Antiqua"/>
        <w:sz w:val="20"/>
        <w:szCs w:val="20"/>
      </w:rPr>
      <w:t>1098</w:t>
    </w:r>
    <w:r w:rsidRPr="00CD46E4">
      <w:rPr>
        <w:rFonts w:ascii="Book Antiqua" w:hAnsi="Book Antiqua"/>
        <w:sz w:val="20"/>
        <w:szCs w:val="20"/>
      </w:rPr>
      <w:t xml:space="preserve"> ♦ 908-665-</w:t>
    </w:r>
    <w:r w:rsidR="003D3928">
      <w:rPr>
        <w:rFonts w:ascii="Book Antiqua" w:hAnsi="Book Antiqua"/>
        <w:sz w:val="20"/>
        <w:szCs w:val="20"/>
      </w:rPr>
      <w:t>8361</w:t>
    </w:r>
    <w:r w:rsidRPr="00CD46E4">
      <w:rPr>
        <w:rFonts w:ascii="Book Antiqua" w:hAnsi="Book Antiqua"/>
        <w:sz w:val="20"/>
        <w:szCs w:val="20"/>
      </w:rPr>
      <w:t xml:space="preserve"> (Fax)</w:t>
    </w:r>
  </w:p>
  <w:p w:rsidR="00874838" w:rsidRPr="00CD46E4" w:rsidRDefault="00874838" w:rsidP="0037438E">
    <w:pPr>
      <w:jc w:val="center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>www.newprov.org</w:t>
    </w:r>
  </w:p>
  <w:p w:rsidR="00874838" w:rsidRDefault="00874838" w:rsidP="0037438E">
    <w:pPr>
      <w:jc w:val="center"/>
      <w:rPr>
        <w:rFonts w:ascii="Book Antiqua" w:hAnsi="Book Antiqua"/>
      </w:rPr>
    </w:pPr>
  </w:p>
  <w:p w:rsidR="00874838" w:rsidRDefault="008748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928" w:rsidRDefault="003D39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450" w:rsidRDefault="00067450">
      <w:r>
        <w:separator/>
      </w:r>
    </w:p>
  </w:footnote>
  <w:footnote w:type="continuationSeparator" w:id="0">
    <w:p w:rsidR="00067450" w:rsidRDefault="00067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928" w:rsidRDefault="003D39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928" w:rsidRDefault="003D39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928" w:rsidRDefault="003D39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9D"/>
    <w:rsid w:val="0005788B"/>
    <w:rsid w:val="00067450"/>
    <w:rsid w:val="001B1431"/>
    <w:rsid w:val="001C7509"/>
    <w:rsid w:val="00204CDF"/>
    <w:rsid w:val="002B0880"/>
    <w:rsid w:val="002B5277"/>
    <w:rsid w:val="002D4052"/>
    <w:rsid w:val="002D6E22"/>
    <w:rsid w:val="0035215A"/>
    <w:rsid w:val="0037438E"/>
    <w:rsid w:val="003C2475"/>
    <w:rsid w:val="003C4D2B"/>
    <w:rsid w:val="003D3928"/>
    <w:rsid w:val="003E5080"/>
    <w:rsid w:val="004032FD"/>
    <w:rsid w:val="00487E4C"/>
    <w:rsid w:val="004C4760"/>
    <w:rsid w:val="00536C5B"/>
    <w:rsid w:val="005449D2"/>
    <w:rsid w:val="00690E59"/>
    <w:rsid w:val="006B17B6"/>
    <w:rsid w:val="006C68D6"/>
    <w:rsid w:val="007907B5"/>
    <w:rsid w:val="007A5319"/>
    <w:rsid w:val="007E3D73"/>
    <w:rsid w:val="007F19A0"/>
    <w:rsid w:val="0080110C"/>
    <w:rsid w:val="00842520"/>
    <w:rsid w:val="00874838"/>
    <w:rsid w:val="00945680"/>
    <w:rsid w:val="0096491A"/>
    <w:rsid w:val="00A20BF2"/>
    <w:rsid w:val="00A93536"/>
    <w:rsid w:val="00B2577C"/>
    <w:rsid w:val="00BE49F9"/>
    <w:rsid w:val="00C21342"/>
    <w:rsid w:val="00C6515D"/>
    <w:rsid w:val="00C778FC"/>
    <w:rsid w:val="00CD46E4"/>
    <w:rsid w:val="00CE45F0"/>
    <w:rsid w:val="00CE4AFF"/>
    <w:rsid w:val="00DB0B29"/>
    <w:rsid w:val="00DD286D"/>
    <w:rsid w:val="00DF219D"/>
    <w:rsid w:val="00E806B2"/>
    <w:rsid w:val="00F158B2"/>
    <w:rsid w:val="00F71E4B"/>
    <w:rsid w:val="00F85A08"/>
    <w:rsid w:val="00FD56EA"/>
    <w:rsid w:val="00FE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E3D73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line="261" w:lineRule="auto"/>
      <w:jc w:val="center"/>
      <w:outlineLvl w:val="0"/>
    </w:pPr>
    <w:rPr>
      <w:rFonts w:ascii="Shruti" w:hAnsi="Shruti"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425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743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438E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5788B"/>
  </w:style>
  <w:style w:type="character" w:styleId="Hyperlink">
    <w:name w:val="Hyperlink"/>
    <w:rsid w:val="002D6E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E3D73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line="261" w:lineRule="auto"/>
      <w:jc w:val="center"/>
      <w:outlineLvl w:val="0"/>
    </w:pPr>
    <w:rPr>
      <w:rFonts w:ascii="Shruti" w:hAnsi="Shruti"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425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743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438E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5788B"/>
  </w:style>
  <w:style w:type="character" w:styleId="Hyperlink">
    <w:name w:val="Hyperlink"/>
    <w:rsid w:val="002D6E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0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1874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Providence Borough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dmarvin</dc:creator>
  <cp:lastModifiedBy>Timko, Debbie</cp:lastModifiedBy>
  <cp:revision>2</cp:revision>
  <cp:lastPrinted>2019-01-02T14:40:00Z</cp:lastPrinted>
  <dcterms:created xsi:type="dcterms:W3CDTF">2019-01-02T14:41:00Z</dcterms:created>
  <dcterms:modified xsi:type="dcterms:W3CDTF">2019-01-02T14:41:00Z</dcterms:modified>
</cp:coreProperties>
</file>